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w w:val="95"/>
        </w:rPr>
        <w:t>广西高校集成电路与微系统重点实验室</w:t>
      </w:r>
      <w:r>
        <w:rPr>
          <w:w w:val="95"/>
        </w:rPr>
        <w:t>和</w:t>
      </w:r>
      <w:r>
        <w:rPr>
          <w:rFonts w:hint="eastAsia"/>
          <w:w w:val="95"/>
        </w:rPr>
        <w:t>广西高校非线性电路与光通信重点实验室开放</w:t>
      </w:r>
      <w:r>
        <w:rPr>
          <w:w w:val="95"/>
        </w:rPr>
        <w:t>课题申请指</w:t>
      </w:r>
      <w:r>
        <w:rPr>
          <w:spacing w:val="-10"/>
          <w:w w:val="95"/>
        </w:rPr>
        <w:t>南</w:t>
      </w:r>
    </w:p>
    <w:p>
      <w:pPr>
        <w:spacing w:before="8"/>
        <w:ind w:left="1902" w:right="1898"/>
        <w:jc w:val="center"/>
        <w:rPr>
          <w:sz w:val="32"/>
        </w:rPr>
      </w:pPr>
      <w:r>
        <w:rPr>
          <w:spacing w:val="-2"/>
          <w:sz w:val="32"/>
        </w:rPr>
        <w:t>（</w:t>
      </w:r>
      <w:r>
        <w:rPr>
          <w:rFonts w:ascii="Times New Roman" w:eastAsia="Times New Roman"/>
          <w:spacing w:val="-2"/>
          <w:sz w:val="32"/>
        </w:rPr>
        <w:t>2024</w:t>
      </w:r>
      <w:r>
        <w:rPr>
          <w:spacing w:val="-2"/>
          <w:sz w:val="32"/>
        </w:rPr>
        <w:t>）</w:t>
      </w:r>
    </w:p>
    <w:p>
      <w:pPr>
        <w:pStyle w:val="3"/>
        <w:spacing w:before="6"/>
        <w:rPr>
          <w:sz w:val="32"/>
        </w:rPr>
      </w:pPr>
    </w:p>
    <w:p>
      <w:pPr>
        <w:pStyle w:val="3"/>
        <w:spacing w:line="364" w:lineRule="auto"/>
        <w:ind w:left="227" w:right="228" w:firstLine="480"/>
        <w:jc w:val="both"/>
        <w:rPr>
          <w:spacing w:val="-2"/>
        </w:rPr>
      </w:pPr>
      <w:r>
        <w:t>依据 《广西</w:t>
      </w:r>
      <w:r>
        <w:rPr>
          <w:rFonts w:hint="eastAsia"/>
        </w:rPr>
        <w:t>高校</w:t>
      </w:r>
      <w:r>
        <w:t>重点实验室建设与管理办法》 等文件规定， 为进一步提高对外开放与交</w:t>
      </w:r>
      <w:r>
        <w:rPr>
          <w:spacing w:val="-2"/>
        </w:rPr>
        <w:t>流，广西</w:t>
      </w:r>
      <w:r>
        <w:rPr>
          <w:rFonts w:hint="eastAsia"/>
          <w:spacing w:val="-2"/>
        </w:rPr>
        <w:t>高校集成电路与微系统重点实验室与广西高校非线性电路与光通信重点实验室</w:t>
      </w:r>
      <w:r>
        <w:rPr>
          <w:spacing w:val="-2"/>
        </w:rPr>
        <w:t>设立开放基金课题，接受国内外学者申请。</w:t>
      </w:r>
    </w:p>
    <w:p>
      <w:pPr>
        <w:pStyle w:val="3"/>
        <w:spacing w:before="1"/>
        <w:rPr>
          <w:sz w:val="19"/>
        </w:rPr>
      </w:pPr>
    </w:p>
    <w:p>
      <w:pPr>
        <w:pStyle w:val="2"/>
        <w:numPr>
          <w:ilvl w:val="0"/>
          <w:numId w:val="1"/>
        </w:numPr>
        <w:rPr>
          <w:spacing w:val="-10"/>
          <w:w w:val="95"/>
        </w:rPr>
      </w:pPr>
      <w:r>
        <w:rPr>
          <w:w w:val="95"/>
        </w:rPr>
        <w:t>科学方</w:t>
      </w:r>
      <w:r>
        <w:rPr>
          <w:spacing w:val="-10"/>
          <w:w w:val="95"/>
        </w:rPr>
        <w:t>向</w:t>
      </w:r>
    </w:p>
    <w:p>
      <w:pPr>
        <w:pStyle w:val="3"/>
        <w:numPr>
          <w:ilvl w:val="0"/>
          <w:numId w:val="2"/>
        </w:numPr>
        <w:spacing w:line="364" w:lineRule="auto"/>
        <w:ind w:right="228"/>
        <w:jc w:val="both"/>
        <w:rPr>
          <w:rFonts w:ascii="Times New Roman" w:hAnsi="Times New Roman" w:cs="Times New Roman"/>
        </w:rPr>
      </w:pPr>
      <w:r>
        <w:rPr>
          <w:rFonts w:ascii="Times New Roman" w:hAnsi="Times New Roman" w:cs="Times New Roman"/>
        </w:rPr>
        <w:t>广西高校集成电路与微系统重点实验室:高性能集成电路设计与EDA、新器件与新工艺、光电子器件与集成等；</w:t>
      </w:r>
    </w:p>
    <w:p>
      <w:pPr>
        <w:pStyle w:val="3"/>
        <w:numPr>
          <w:ilvl w:val="0"/>
          <w:numId w:val="2"/>
        </w:numPr>
        <w:spacing w:line="364" w:lineRule="auto"/>
        <w:ind w:right="228"/>
        <w:jc w:val="both"/>
        <w:rPr>
          <w:rFonts w:ascii="Times New Roman" w:hAnsi="Times New Roman" w:cs="Times New Roman"/>
        </w:rPr>
      </w:pPr>
      <w:r>
        <w:rPr>
          <w:rFonts w:ascii="Times New Roman" w:hAnsi="Times New Roman" w:cs="Times New Roman"/>
        </w:rPr>
        <w:t xml:space="preserve">广西高校非线性电路与光通信重点实验室: </w:t>
      </w:r>
      <w:r>
        <w:rPr>
          <w:rFonts w:hint="eastAsia" w:ascii="Times New Roman" w:hAnsi="Times New Roman" w:cs="Times New Roman"/>
        </w:rPr>
        <w:t>非线性电路理论与应用、非线性复杂网络的理论与应用、非线性光通信与编码和非线性信号处理与滤波器设计</w:t>
      </w:r>
      <w:r>
        <w:rPr>
          <w:rFonts w:ascii="Times New Roman" w:hAnsi="Times New Roman" w:cs="Times New Roman"/>
        </w:rPr>
        <w:t>等三个方向。</w:t>
      </w:r>
    </w:p>
    <w:p>
      <w:pPr>
        <w:pStyle w:val="3"/>
        <w:spacing w:before="6"/>
        <w:rPr>
          <w:sz w:val="31"/>
        </w:rPr>
      </w:pPr>
    </w:p>
    <w:p>
      <w:pPr>
        <w:pStyle w:val="2"/>
      </w:pPr>
      <w:r>
        <w:rPr>
          <w:w w:val="95"/>
        </w:rPr>
        <w:t>二、资助范</w:t>
      </w:r>
      <w:r>
        <w:rPr>
          <w:spacing w:val="-10"/>
          <w:w w:val="95"/>
        </w:rPr>
        <w:t>围</w:t>
      </w:r>
    </w:p>
    <w:p>
      <w:pPr>
        <w:pStyle w:val="3"/>
        <w:spacing w:before="242" w:line="364" w:lineRule="auto"/>
        <w:ind w:left="227" w:right="226" w:firstLine="480"/>
        <w:jc w:val="both"/>
      </w:pPr>
      <w:r>
        <w:rPr>
          <w:spacing w:val="-2"/>
        </w:rPr>
        <w:t>类脑人工智能与生物神经网络，复杂网络建模与动力学行为，非线性电路系统控制与同步，模拟集成电路、智能芯片安全与设计，新型半导体器件及其应用，光器件、光芯片设计与研究，智能感知与多模态智能计算，机器视觉与自动控制，智能电网优化与稳定控制等。</w:t>
      </w:r>
    </w:p>
    <w:p>
      <w:pPr>
        <w:pStyle w:val="3"/>
        <w:spacing w:before="1"/>
        <w:rPr>
          <w:sz w:val="19"/>
        </w:rPr>
      </w:pPr>
    </w:p>
    <w:p>
      <w:pPr>
        <w:pStyle w:val="2"/>
      </w:pPr>
      <w:r>
        <w:rPr>
          <w:w w:val="95"/>
        </w:rPr>
        <w:t>三、申请要求及注意事</w:t>
      </w:r>
      <w:r>
        <w:rPr>
          <w:spacing w:val="-10"/>
          <w:w w:val="95"/>
        </w:rPr>
        <w:t>项</w:t>
      </w:r>
    </w:p>
    <w:p>
      <w:pPr>
        <w:pStyle w:val="3"/>
        <w:spacing w:before="245"/>
        <w:ind w:left="707"/>
      </w:pPr>
      <w:r>
        <w:rPr>
          <w:spacing w:val="-2"/>
        </w:rPr>
        <w:t>（一）</w:t>
      </w:r>
      <w:r>
        <w:rPr>
          <w:spacing w:val="-4"/>
        </w:rPr>
        <w:t>申请人要求</w:t>
      </w:r>
    </w:p>
    <w:p>
      <w:pPr>
        <w:pStyle w:val="8"/>
        <w:numPr>
          <w:ilvl w:val="0"/>
          <w:numId w:val="3"/>
        </w:numPr>
        <w:tabs>
          <w:tab w:val="left" w:pos="1080"/>
        </w:tabs>
        <w:spacing w:line="364" w:lineRule="auto"/>
        <w:ind w:right="227" w:firstLine="480"/>
        <w:rPr>
          <w:color w:val="auto"/>
          <w:sz w:val="24"/>
        </w:rPr>
      </w:pPr>
      <w:r>
        <w:rPr>
          <w:color w:val="auto"/>
          <w:sz w:val="24"/>
        </w:rPr>
        <w:t>国内外高校、科研院所等企事业单位正式员工，均可根据课题指南提出申请。具有博士</w:t>
      </w:r>
      <w:r>
        <w:rPr>
          <w:color w:val="auto"/>
          <w:spacing w:val="-2"/>
          <w:sz w:val="24"/>
        </w:rPr>
        <w:t>学位或副高级以上职称可直接申请，其他人员需两位具有高级职称科技人员推荐。</w:t>
      </w:r>
    </w:p>
    <w:p>
      <w:pPr>
        <w:pStyle w:val="8"/>
        <w:numPr>
          <w:ilvl w:val="0"/>
          <w:numId w:val="3"/>
        </w:numPr>
        <w:tabs>
          <w:tab w:val="left" w:pos="1080"/>
        </w:tabs>
        <w:spacing w:line="364" w:lineRule="auto"/>
        <w:ind w:right="227" w:firstLine="480"/>
        <w:rPr>
          <w:color w:val="auto"/>
          <w:sz w:val="24"/>
        </w:rPr>
      </w:pPr>
      <w:r>
        <w:rPr>
          <w:color w:val="auto"/>
          <w:spacing w:val="-2"/>
          <w:sz w:val="24"/>
        </w:rPr>
        <w:t>申请开放基金的校内人员须为实验室的固定研究成员</w:t>
      </w:r>
      <w:r>
        <w:rPr>
          <w:rFonts w:hint="eastAsia"/>
          <w:color w:val="auto"/>
          <w:spacing w:val="-2"/>
          <w:sz w:val="24"/>
        </w:rPr>
        <w:t>。</w:t>
      </w:r>
    </w:p>
    <w:p>
      <w:pPr>
        <w:pStyle w:val="8"/>
        <w:numPr>
          <w:ilvl w:val="0"/>
          <w:numId w:val="3"/>
        </w:numPr>
        <w:tabs>
          <w:tab w:val="left" w:pos="1080"/>
        </w:tabs>
        <w:spacing w:before="2" w:line="364" w:lineRule="auto"/>
        <w:ind w:right="220" w:firstLine="480"/>
        <w:rPr>
          <w:color w:val="auto"/>
          <w:sz w:val="24"/>
        </w:rPr>
      </w:pPr>
      <w:r>
        <w:rPr>
          <w:color w:val="auto"/>
          <w:spacing w:val="8"/>
          <w:sz w:val="24"/>
        </w:rPr>
        <w:t>凡已承担本实验室课题在研、未按期或未按原计划完成项目的负责人，不能申请新课题。</w:t>
      </w:r>
    </w:p>
    <w:p>
      <w:pPr>
        <w:pStyle w:val="8"/>
        <w:numPr>
          <w:ilvl w:val="0"/>
          <w:numId w:val="3"/>
        </w:numPr>
        <w:tabs>
          <w:tab w:val="left" w:pos="1080"/>
        </w:tabs>
        <w:spacing w:before="1" w:line="364" w:lineRule="auto"/>
        <w:ind w:firstLine="480"/>
        <w:rPr>
          <w:color w:val="auto"/>
          <w:sz w:val="24"/>
        </w:rPr>
      </w:pPr>
      <w:r>
        <w:rPr>
          <w:color w:val="auto"/>
          <w:spacing w:val="-2"/>
          <w:sz w:val="24"/>
        </w:rPr>
        <w:t>每个校外人员申请的开放基金项目需要指定一位实验室固定研究人员作为合作者协助申请人完成项目有</w:t>
      </w:r>
      <w:r>
        <w:rPr>
          <w:color w:val="auto"/>
          <w:spacing w:val="-4"/>
          <w:sz w:val="24"/>
        </w:rPr>
        <w:t>关工作。</w:t>
      </w:r>
    </w:p>
    <w:p>
      <w:pPr>
        <w:pStyle w:val="8"/>
        <w:numPr>
          <w:ilvl w:val="0"/>
          <w:numId w:val="3"/>
        </w:numPr>
        <w:tabs>
          <w:tab w:val="left" w:pos="1080"/>
        </w:tabs>
        <w:spacing w:before="1" w:line="364" w:lineRule="auto"/>
        <w:ind w:firstLine="480"/>
        <w:rPr>
          <w:rFonts w:hint="eastAsia"/>
          <w:color w:val="auto"/>
          <w:spacing w:val="-2"/>
          <w:sz w:val="24"/>
        </w:rPr>
      </w:pPr>
      <w:r>
        <w:rPr>
          <w:rFonts w:hint="eastAsia"/>
          <w:color w:val="auto"/>
          <w:spacing w:val="-2"/>
          <w:sz w:val="24"/>
          <w:lang w:val="en-US" w:eastAsia="zh-CN"/>
        </w:rPr>
        <w:t>同等条件下，优先资助</w:t>
      </w:r>
      <w:bookmarkStart w:id="0" w:name="_GoBack"/>
      <w:bookmarkEnd w:id="0"/>
      <w:r>
        <w:rPr>
          <w:rFonts w:hint="eastAsia"/>
          <w:color w:val="auto"/>
          <w:spacing w:val="-2"/>
          <w:sz w:val="24"/>
          <w:lang w:val="en-US" w:eastAsia="zh-CN"/>
        </w:rPr>
        <w:t>未</w:t>
      </w:r>
      <w:r>
        <w:rPr>
          <w:rFonts w:hint="eastAsia"/>
          <w:color w:val="auto"/>
          <w:spacing w:val="-2"/>
          <w:sz w:val="24"/>
        </w:rPr>
        <w:t>主持广西类脑计算与智能芯片实验室在研主任基金或开放基金的人员。</w:t>
      </w:r>
    </w:p>
    <w:p>
      <w:pPr>
        <w:pStyle w:val="3"/>
        <w:spacing w:before="1"/>
        <w:ind w:left="707"/>
      </w:pPr>
      <w:r>
        <w:rPr>
          <w:spacing w:val="-2"/>
        </w:rPr>
        <w:t>（二）</w:t>
      </w:r>
      <w:r>
        <w:rPr>
          <w:spacing w:val="-4"/>
        </w:rPr>
        <w:t>项目类别</w:t>
      </w:r>
    </w:p>
    <w:p>
      <w:pPr>
        <w:pStyle w:val="3"/>
        <w:spacing w:before="161" w:line="364" w:lineRule="auto"/>
        <w:ind w:left="227" w:right="220" w:firstLine="480"/>
        <w:rPr>
          <w:spacing w:val="8"/>
        </w:rPr>
      </w:pPr>
      <w:r>
        <w:rPr>
          <w:spacing w:val="8"/>
        </w:rPr>
        <w:t>本年度每个实验室拟资助</w:t>
      </w:r>
      <w:r>
        <w:rPr>
          <w:rFonts w:hint="eastAsia"/>
          <w:spacing w:val="8"/>
        </w:rPr>
        <w:t>3项开放基金</w:t>
      </w:r>
      <w:r>
        <w:t>（两个实验室共</w:t>
      </w:r>
      <w:r>
        <w:rPr>
          <w:rFonts w:hint="eastAsia"/>
        </w:rPr>
        <w:t>6项，</w:t>
      </w:r>
      <w:r>
        <w:rPr>
          <w:spacing w:val="8"/>
        </w:rPr>
        <w:t>每项拟资助</w:t>
      </w:r>
      <w:r>
        <w:rPr>
          <w:rFonts w:ascii="Times New Roman" w:eastAsia="Times New Roman"/>
        </w:rPr>
        <w:t>1</w:t>
      </w:r>
      <w:r>
        <w:rPr>
          <w:spacing w:val="-2"/>
        </w:rPr>
        <w:t>万</w:t>
      </w:r>
      <w:r>
        <w:rPr>
          <w:rFonts w:hint="eastAsia"/>
          <w:spacing w:val="-2"/>
          <w:lang w:val="en-US" w:eastAsia="zh-CN"/>
        </w:rPr>
        <w:t>元</w:t>
      </w:r>
      <w:r>
        <w:rPr>
          <w:spacing w:val="-2"/>
        </w:rPr>
        <w:t>），研究期限</w:t>
      </w:r>
      <w:r>
        <w:rPr>
          <w:rFonts w:hint="eastAsia"/>
          <w:spacing w:val="-2"/>
          <w:lang w:val="en-US" w:eastAsia="zh-CN"/>
        </w:rPr>
        <w:t>截止到2024年12月31日</w:t>
      </w:r>
      <w:r>
        <w:rPr>
          <w:spacing w:val="-2"/>
        </w:rPr>
        <w:t>。</w:t>
      </w:r>
    </w:p>
    <w:p>
      <w:pPr>
        <w:pStyle w:val="3"/>
        <w:spacing w:before="1"/>
        <w:ind w:left="707"/>
      </w:pPr>
      <w:r>
        <w:rPr>
          <w:spacing w:val="-2"/>
        </w:rPr>
        <w:t>（三）</w:t>
      </w:r>
      <w:r>
        <w:rPr>
          <w:spacing w:val="-4"/>
        </w:rPr>
        <w:t>注意事项</w:t>
      </w:r>
    </w:p>
    <w:p>
      <w:pPr>
        <w:pStyle w:val="8"/>
        <w:numPr>
          <w:ilvl w:val="1"/>
          <w:numId w:val="3"/>
        </w:numPr>
        <w:tabs>
          <w:tab w:val="left" w:pos="1080"/>
        </w:tabs>
        <w:spacing w:before="55" w:line="364" w:lineRule="auto"/>
        <w:ind w:right="220"/>
        <w:rPr>
          <w:color w:val="auto"/>
          <w:sz w:val="24"/>
        </w:rPr>
      </w:pPr>
      <w:r>
        <w:rPr>
          <w:rFonts w:hint="eastAsia"/>
          <w:color w:val="auto"/>
          <w:spacing w:val="-3"/>
          <w:sz w:val="24"/>
        </w:rPr>
        <w:t>校外人员申请的开放基金</w:t>
      </w:r>
      <w:r>
        <w:rPr>
          <w:color w:val="auto"/>
          <w:spacing w:val="-3"/>
          <w:sz w:val="24"/>
        </w:rPr>
        <w:t>项目</w:t>
      </w:r>
      <w:r>
        <w:rPr>
          <w:rFonts w:hint="eastAsia"/>
          <w:color w:val="auto"/>
          <w:spacing w:val="-3"/>
          <w:sz w:val="24"/>
        </w:rPr>
        <w:t>，</w:t>
      </w:r>
      <w:r>
        <w:rPr>
          <w:color w:val="auto"/>
          <w:spacing w:val="-3"/>
          <w:sz w:val="24"/>
        </w:rPr>
        <w:t xml:space="preserve">研究成果要求至少有 </w:t>
      </w:r>
      <w:r>
        <w:rPr>
          <w:rFonts w:ascii="Times New Roman" w:hAnsi="Times New Roman" w:eastAsia="Times New Roman"/>
          <w:color w:val="auto"/>
          <w:sz w:val="24"/>
        </w:rPr>
        <w:t>1</w:t>
      </w:r>
      <w:r>
        <w:rPr>
          <w:rFonts w:ascii="Times New Roman" w:hAnsi="Times New Roman" w:eastAsia="Times New Roman"/>
          <w:color w:val="auto"/>
          <w:spacing w:val="-15"/>
          <w:sz w:val="24"/>
        </w:rPr>
        <w:t xml:space="preserve"> </w:t>
      </w:r>
      <w:r>
        <w:rPr>
          <w:color w:val="auto"/>
          <w:spacing w:val="-15"/>
          <w:sz w:val="24"/>
        </w:rPr>
        <w:t xml:space="preserve">篇 </w:t>
      </w:r>
      <w:r>
        <w:rPr>
          <w:rFonts w:ascii="Times New Roman" w:hAnsi="Times New Roman" w:eastAsia="Times New Roman"/>
          <w:color w:val="auto"/>
          <w:sz w:val="24"/>
        </w:rPr>
        <w:t>SCI/EI</w:t>
      </w:r>
      <w:r>
        <w:rPr>
          <w:rFonts w:ascii="Times New Roman" w:hAnsi="Times New Roman" w:eastAsia="Times New Roman"/>
          <w:color w:val="auto"/>
          <w:spacing w:val="-15"/>
          <w:sz w:val="24"/>
        </w:rPr>
        <w:t xml:space="preserve"> </w:t>
      </w:r>
      <w:r>
        <w:rPr>
          <w:color w:val="auto"/>
          <w:spacing w:val="-5"/>
          <w:sz w:val="24"/>
        </w:rPr>
        <w:t xml:space="preserve">期刊论文或 </w:t>
      </w:r>
      <w:r>
        <w:rPr>
          <w:rFonts w:ascii="Times New Roman" w:hAnsi="Times New Roman" w:eastAsia="Times New Roman"/>
          <w:color w:val="auto"/>
          <w:sz w:val="24"/>
        </w:rPr>
        <w:t>2</w:t>
      </w:r>
      <w:r>
        <w:rPr>
          <w:rFonts w:ascii="Times New Roman" w:hAnsi="Times New Roman" w:eastAsia="Times New Roman"/>
          <w:color w:val="auto"/>
          <w:spacing w:val="-15"/>
          <w:sz w:val="24"/>
        </w:rPr>
        <w:t xml:space="preserve"> </w:t>
      </w:r>
      <w:r>
        <w:rPr>
          <w:color w:val="auto"/>
          <w:sz w:val="24"/>
        </w:rPr>
        <w:t>篇核心期刊论文以“广西高校集成电路与微系统重点实验室</w:t>
      </w:r>
      <w:r>
        <w:rPr>
          <w:color w:val="auto"/>
          <w:spacing w:val="-2"/>
          <w:sz w:val="24"/>
        </w:rPr>
        <w:t>”或</w:t>
      </w:r>
      <w:r>
        <w:rPr>
          <w:rFonts w:hint="eastAsia"/>
          <w:color w:val="auto"/>
          <w:spacing w:val="-2"/>
          <w:sz w:val="24"/>
        </w:rPr>
        <w:t>“</w:t>
      </w:r>
      <w:r>
        <w:rPr>
          <w:rFonts w:hint="eastAsia"/>
          <w:color w:val="auto"/>
          <w:sz w:val="24"/>
          <w:szCs w:val="24"/>
        </w:rPr>
        <w:t>广西高校非线性电路与光通信重点实验室”</w:t>
      </w:r>
      <w:r>
        <w:rPr>
          <w:color w:val="auto"/>
          <w:spacing w:val="-2"/>
          <w:sz w:val="24"/>
        </w:rPr>
        <w:t>为第一完成单位，其余论文只要求署名实验室，单位排序不限；所有论文必须标注实验室项目资助。</w:t>
      </w:r>
    </w:p>
    <w:p>
      <w:pPr>
        <w:pStyle w:val="8"/>
        <w:numPr>
          <w:ilvl w:val="1"/>
          <w:numId w:val="3"/>
        </w:numPr>
        <w:tabs>
          <w:tab w:val="left" w:pos="1080"/>
        </w:tabs>
        <w:spacing w:before="55" w:line="364" w:lineRule="auto"/>
        <w:ind w:right="220"/>
        <w:rPr>
          <w:rFonts w:hint="eastAsia"/>
          <w:color w:val="auto"/>
          <w:sz w:val="24"/>
        </w:rPr>
      </w:pPr>
      <w:r>
        <w:rPr>
          <w:rFonts w:hint="eastAsia"/>
          <w:color w:val="auto"/>
          <w:sz w:val="24"/>
        </w:rPr>
        <w:t>实验</w:t>
      </w:r>
      <w:r>
        <w:rPr>
          <w:color w:val="auto"/>
          <w:sz w:val="24"/>
        </w:rPr>
        <w:t>室固定研究人员申请的开放基金项目，成果署名要求按广西师范大学电子与信息工程学院相关规定执行</w:t>
      </w:r>
      <w:r>
        <w:rPr>
          <w:rFonts w:hint="eastAsia"/>
          <w:color w:val="auto"/>
          <w:sz w:val="24"/>
        </w:rPr>
        <w:t>。</w:t>
      </w:r>
    </w:p>
    <w:p>
      <w:pPr>
        <w:pStyle w:val="2"/>
        <w:rPr>
          <w:rFonts w:hint="eastAsia" w:eastAsia="宋体"/>
          <w:lang w:val="en-US" w:eastAsia="zh-CN"/>
        </w:rPr>
      </w:pPr>
      <w:r>
        <w:rPr>
          <w:w w:val="95"/>
        </w:rPr>
        <w:t>四、其</w:t>
      </w:r>
      <w:r>
        <w:rPr>
          <w:rFonts w:hint="eastAsia"/>
          <w:w w:val="95"/>
          <w:lang w:val="en-US" w:eastAsia="zh-CN"/>
        </w:rPr>
        <w:t>他</w:t>
      </w:r>
    </w:p>
    <w:p>
      <w:pPr>
        <w:pStyle w:val="8"/>
        <w:numPr>
          <w:ilvl w:val="0"/>
          <w:numId w:val="4"/>
        </w:numPr>
        <w:tabs>
          <w:tab w:val="left" w:pos="989"/>
        </w:tabs>
        <w:spacing w:before="242"/>
        <w:ind w:right="0" w:hanging="282"/>
        <w:rPr>
          <w:sz w:val="24"/>
        </w:rPr>
      </w:pPr>
      <w:r>
        <w:rPr>
          <w:spacing w:val="-1"/>
          <w:sz w:val="24"/>
        </w:rPr>
        <w:t>项目经费可在广西师范大学使用，也可以外拨到申请者所在单位使用。经费使用需遵守</w:t>
      </w:r>
    </w:p>
    <w:p>
      <w:pPr>
        <w:pStyle w:val="3"/>
        <w:spacing w:before="161"/>
        <w:ind w:left="227"/>
      </w:pPr>
      <w:r>
        <w:rPr>
          <w:spacing w:val="-1"/>
        </w:rPr>
        <w:t>《广西师范大学重点实验室开放课题经费管理办法》规定。</w:t>
      </w:r>
    </w:p>
    <w:p>
      <w:pPr>
        <w:pStyle w:val="8"/>
        <w:numPr>
          <w:ilvl w:val="0"/>
          <w:numId w:val="4"/>
        </w:numPr>
        <w:tabs>
          <w:tab w:val="left" w:pos="960"/>
        </w:tabs>
        <w:spacing w:line="364" w:lineRule="auto"/>
        <w:ind w:left="227" w:firstLine="480"/>
        <w:rPr>
          <w:rFonts w:hint="eastAsia"/>
          <w:sz w:val="24"/>
        </w:rPr>
      </w:pPr>
      <w:r>
        <w:rPr>
          <w:spacing w:val="-2"/>
          <w:sz w:val="24"/>
        </w:rPr>
        <w:t>课题基金资助取得的科研成果，由本实验室与项目承担者所在单位共享；发表论文、申请鉴定、成果报奖时均应署名，并标注实验室项目资助。</w:t>
      </w:r>
    </w:p>
    <w:p>
      <w:pPr>
        <w:pStyle w:val="3"/>
        <w:spacing w:before="4" w:after="1"/>
        <w:rPr>
          <w:sz w:val="12"/>
        </w:rPr>
      </w:pPr>
    </w:p>
    <w:tbl>
      <w:tblPr>
        <w:tblStyle w:val="7"/>
        <w:tblW w:w="10310"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3"/>
        <w:gridCol w:w="7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0310" w:type="dxa"/>
            <w:gridSpan w:val="2"/>
            <w:shd w:val="clear" w:color="auto" w:fill="D9D9D9"/>
          </w:tcPr>
          <w:p>
            <w:pPr>
              <w:pStyle w:val="9"/>
              <w:spacing w:before="2"/>
              <w:ind w:left="2277" w:right="2270"/>
              <w:rPr>
                <w:rFonts w:ascii="宋体" w:eastAsia="宋体"/>
                <w:b/>
                <w:sz w:val="24"/>
              </w:rPr>
            </w:pPr>
            <w:r>
              <w:rPr>
                <w:rFonts w:hint="eastAsia" w:ascii="宋体" w:eastAsia="宋体"/>
                <w:b/>
                <w:w w:val="95"/>
                <w:sz w:val="24"/>
              </w:rPr>
              <w:t>发表论文时在第一作者、通讯作者单位中注明以下实验室全</w:t>
            </w:r>
            <w:r>
              <w:rPr>
                <w:rFonts w:hint="eastAsia" w:ascii="宋体" w:eastAsia="宋体"/>
                <w:b/>
                <w:spacing w:val="-10"/>
                <w:w w:val="95"/>
                <w:sz w:val="24"/>
              </w:rPr>
              <w:t>名(</w:t>
            </w:r>
            <w:r>
              <w:rPr>
                <w:rFonts w:hint="eastAsia" w:ascii="宋体" w:eastAsia="宋体"/>
                <w:b/>
                <w:color w:val="FF0000"/>
                <w:spacing w:val="-10"/>
                <w:w w:val="95"/>
                <w:sz w:val="24"/>
              </w:rPr>
              <w:t>两者选其一</w:t>
            </w:r>
            <w:r>
              <w:rPr>
                <w:rFonts w:ascii="宋体" w:eastAsia="宋体"/>
                <w:b/>
                <w:spacing w:val="-10"/>
                <w:w w:val="9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0" w:hRule="atLeast"/>
        </w:trPr>
        <w:tc>
          <w:tcPr>
            <w:tcW w:w="3283" w:type="dxa"/>
            <w:tcBorders>
              <w:right w:val="single" w:color="000000" w:sz="6" w:space="0"/>
            </w:tcBorders>
          </w:tcPr>
          <w:p>
            <w:pPr>
              <w:pStyle w:val="9"/>
              <w:spacing w:before="153" w:line="365" w:lineRule="auto"/>
              <w:ind w:left="130" w:right="125"/>
              <w:jc w:val="left"/>
              <w:rPr>
                <w:rFonts w:ascii="宋体" w:eastAsia="宋体"/>
                <w:sz w:val="24"/>
              </w:rPr>
            </w:pPr>
            <w:r>
              <w:rPr>
                <w:rFonts w:ascii="宋体" w:eastAsia="宋体"/>
                <w:spacing w:val="-2"/>
                <w:sz w:val="24"/>
              </w:rPr>
              <w:t>广西师范大学</w:t>
            </w:r>
            <w:r>
              <w:rPr>
                <w:spacing w:val="-2"/>
                <w:sz w:val="24"/>
              </w:rPr>
              <w:t>-</w:t>
            </w:r>
            <w:r>
              <w:rPr>
                <w:rFonts w:hint="eastAsia" w:ascii="宋体" w:eastAsia="宋体"/>
                <w:spacing w:val="-2"/>
                <w:sz w:val="24"/>
              </w:rPr>
              <w:t>广西高校集成电路与微系统重点实验室</w:t>
            </w:r>
          </w:p>
        </w:tc>
        <w:tc>
          <w:tcPr>
            <w:tcW w:w="7027" w:type="dxa"/>
            <w:tcBorders>
              <w:left w:val="single" w:color="000000" w:sz="6" w:space="0"/>
            </w:tcBorders>
          </w:tcPr>
          <w:p>
            <w:pPr>
              <w:pStyle w:val="9"/>
              <w:spacing w:line="360" w:lineRule="auto"/>
              <w:ind w:left="125" w:right="117" w:hanging="1"/>
              <w:rPr>
                <w:sz w:val="24"/>
              </w:rPr>
            </w:pPr>
            <w:r>
              <w:rPr>
                <w:sz w:val="24"/>
              </w:rPr>
              <w:t xml:space="preserve"> Key Laboratory of  Integrated Circuits and Microsystems (Guangxi Normal</w:t>
            </w:r>
            <w:r>
              <w:rPr>
                <w:rFonts w:eastAsiaTheme="minorEastAsia"/>
                <w:sz w:val="24"/>
              </w:rPr>
              <w:t xml:space="preserve"> </w:t>
            </w:r>
            <w:r>
              <w:rPr>
                <w:sz w:val="24"/>
              </w:rPr>
              <w:t>University),Education Department of Guangxi Zhuang Autonomous Region,  Guilin,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0" w:hRule="atLeast"/>
        </w:trPr>
        <w:tc>
          <w:tcPr>
            <w:tcW w:w="3283" w:type="dxa"/>
            <w:tcBorders>
              <w:right w:val="single" w:color="000000" w:sz="6" w:space="0"/>
            </w:tcBorders>
          </w:tcPr>
          <w:p>
            <w:pPr>
              <w:pStyle w:val="9"/>
              <w:spacing w:before="153" w:line="365" w:lineRule="auto"/>
              <w:ind w:left="130" w:right="125"/>
              <w:jc w:val="left"/>
              <w:rPr>
                <w:rFonts w:ascii="宋体" w:eastAsia="宋体"/>
                <w:spacing w:val="-2"/>
                <w:sz w:val="24"/>
              </w:rPr>
            </w:pPr>
            <w:r>
              <w:rPr>
                <w:rFonts w:hint="eastAsia" w:ascii="宋体" w:eastAsia="宋体"/>
                <w:spacing w:val="-2"/>
                <w:sz w:val="24"/>
              </w:rPr>
              <w:t>广西师范大学</w:t>
            </w:r>
            <w:r>
              <w:rPr>
                <w:rFonts w:ascii="宋体" w:eastAsia="宋体"/>
                <w:spacing w:val="-2"/>
                <w:sz w:val="24"/>
              </w:rPr>
              <w:t>-</w:t>
            </w:r>
            <w:r>
              <w:rPr>
                <w:rFonts w:hint="eastAsia" w:ascii="宋体" w:eastAsia="宋体"/>
                <w:spacing w:val="-2"/>
                <w:sz w:val="24"/>
              </w:rPr>
              <w:t>广西高校非线性电路与光通信重点实验室</w:t>
            </w:r>
          </w:p>
        </w:tc>
        <w:tc>
          <w:tcPr>
            <w:tcW w:w="7027" w:type="dxa"/>
            <w:tcBorders>
              <w:left w:val="single" w:color="000000" w:sz="6" w:space="0"/>
            </w:tcBorders>
          </w:tcPr>
          <w:p>
            <w:pPr>
              <w:pStyle w:val="9"/>
              <w:spacing w:line="360" w:lineRule="auto"/>
              <w:ind w:left="125" w:right="117" w:hanging="1"/>
              <w:rPr>
                <w:sz w:val="24"/>
              </w:rPr>
            </w:pPr>
            <w:r>
              <w:rPr>
                <w:sz w:val="24"/>
              </w:rPr>
              <w:t>Key Laboratory of  Nonlinear Circuit and Optical Communications  (Guangxi Normal</w:t>
            </w:r>
            <w:r>
              <w:rPr>
                <w:rFonts w:eastAsiaTheme="minorEastAsia"/>
                <w:sz w:val="24"/>
              </w:rPr>
              <w:t xml:space="preserve"> </w:t>
            </w:r>
            <w:r>
              <w:rPr>
                <w:sz w:val="24"/>
              </w:rPr>
              <w:t>University),Education Department of Guangxi Zhuang Autonomous Region,  Guilin,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0310" w:type="dxa"/>
            <w:gridSpan w:val="2"/>
            <w:tcBorders>
              <w:bottom w:val="single" w:color="000000" w:sz="6" w:space="0"/>
            </w:tcBorders>
            <w:shd w:val="clear" w:color="auto" w:fill="D9D9D9"/>
          </w:tcPr>
          <w:p>
            <w:pPr>
              <w:pStyle w:val="9"/>
              <w:spacing w:before="2"/>
              <w:ind w:left="2277" w:right="2270"/>
              <w:rPr>
                <w:rFonts w:ascii="宋体" w:eastAsia="宋体"/>
                <w:b/>
                <w:sz w:val="24"/>
              </w:rPr>
            </w:pPr>
            <w:r>
              <w:rPr>
                <w:rFonts w:hint="eastAsia" w:ascii="宋体" w:eastAsia="宋体"/>
                <w:b/>
                <w:w w:val="95"/>
                <w:sz w:val="24"/>
              </w:rPr>
              <w:t>所有成果须标注实验室项目资</w:t>
            </w:r>
            <w:r>
              <w:rPr>
                <w:rFonts w:hint="eastAsia" w:ascii="宋体" w:eastAsia="宋体"/>
                <w:b/>
                <w:spacing w:val="-10"/>
                <w:w w:val="95"/>
                <w:sz w:val="24"/>
              </w:rPr>
              <w:t>助</w:t>
            </w:r>
            <w:r>
              <w:rPr>
                <w:rFonts w:ascii="宋体" w:eastAsia="宋体"/>
                <w:b/>
                <w:spacing w:val="-10"/>
                <w:w w:val="95"/>
                <w:sz w:val="24"/>
              </w:rPr>
              <w:t>(</w:t>
            </w:r>
            <w:r>
              <w:rPr>
                <w:rFonts w:ascii="宋体" w:eastAsia="宋体"/>
                <w:b/>
                <w:color w:val="FF0000"/>
                <w:spacing w:val="-10"/>
                <w:w w:val="95"/>
                <w:sz w:val="24"/>
              </w:rPr>
              <w:t>两者选其一</w:t>
            </w:r>
            <w:r>
              <w:rPr>
                <w:rFonts w:ascii="宋体" w:eastAsia="宋体"/>
                <w:b/>
                <w:spacing w:val="-10"/>
                <w:w w:val="9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3283" w:type="dxa"/>
            <w:tcBorders>
              <w:top w:val="single" w:color="000000" w:sz="6" w:space="0"/>
              <w:right w:val="single" w:color="000000" w:sz="6" w:space="0"/>
            </w:tcBorders>
          </w:tcPr>
          <w:p>
            <w:pPr>
              <w:pStyle w:val="9"/>
              <w:ind w:left="164"/>
              <w:rPr>
                <w:rFonts w:ascii="宋体" w:eastAsia="宋体"/>
                <w:sz w:val="24"/>
              </w:rPr>
            </w:pPr>
            <w:r>
              <w:rPr>
                <w:rFonts w:hint="eastAsia" w:ascii="宋体" w:eastAsia="宋体"/>
                <w:spacing w:val="-1"/>
                <w:sz w:val="24"/>
              </w:rPr>
              <w:t>广西高校集成电路与微系统重点实验室</w:t>
            </w:r>
            <w:r>
              <w:rPr>
                <w:rFonts w:ascii="宋体" w:eastAsia="宋体"/>
                <w:spacing w:val="-1"/>
                <w:sz w:val="24"/>
              </w:rPr>
              <w:t>开放基金</w:t>
            </w:r>
            <w:r>
              <w:rPr>
                <w:rFonts w:ascii="宋体" w:eastAsia="宋体"/>
                <w:sz w:val="24"/>
              </w:rPr>
              <w:t>课题</w:t>
            </w:r>
            <w:r>
              <w:rPr>
                <w:spacing w:val="-2"/>
                <w:sz w:val="24"/>
              </w:rPr>
              <w:t>(ICMxxx)</w:t>
            </w:r>
          </w:p>
        </w:tc>
        <w:tc>
          <w:tcPr>
            <w:tcW w:w="7027" w:type="dxa"/>
            <w:tcBorders>
              <w:top w:val="single" w:color="000000" w:sz="6" w:space="0"/>
              <w:left w:val="single" w:color="000000" w:sz="6" w:space="0"/>
            </w:tcBorders>
          </w:tcPr>
          <w:p>
            <w:pPr>
              <w:pStyle w:val="9"/>
              <w:spacing w:line="360" w:lineRule="auto"/>
              <w:ind w:left="513" w:right="506" w:firstLine="2"/>
              <w:rPr>
                <w:rFonts w:eastAsia="宋体"/>
                <w:spacing w:val="-1"/>
                <w:sz w:val="24"/>
              </w:rPr>
            </w:pPr>
            <w:r>
              <w:rPr>
                <w:rFonts w:eastAsia="宋体"/>
                <w:spacing w:val="-1"/>
                <w:sz w:val="24"/>
              </w:rPr>
              <w:t xml:space="preserve">Supported by a grant (No. </w:t>
            </w:r>
            <w:r>
              <w:rPr>
                <w:spacing w:val="-2"/>
                <w:sz w:val="24"/>
              </w:rPr>
              <w:t>ICMxxx</w:t>
            </w:r>
            <w:r>
              <w:rPr>
                <w:rFonts w:eastAsia="宋体"/>
                <w:spacing w:val="-1"/>
                <w:sz w:val="24"/>
              </w:rPr>
              <w:t>) from Key Laboratory of  Integrated Circuits and Microsystems (Guangxi Normal University), Education Department of Guangxi Zhuang Autonomous Region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3283" w:type="dxa"/>
            <w:tcBorders>
              <w:right w:val="single" w:color="000000" w:sz="6" w:space="0"/>
            </w:tcBorders>
          </w:tcPr>
          <w:p>
            <w:pPr>
              <w:pStyle w:val="9"/>
              <w:spacing w:before="160"/>
              <w:rPr>
                <w:sz w:val="24"/>
              </w:rPr>
            </w:pPr>
            <w:r>
              <w:rPr>
                <w:rFonts w:eastAsia="宋体"/>
                <w:spacing w:val="-1"/>
                <w:sz w:val="24"/>
              </w:rPr>
              <w:t>广西高校非线性电路与光通信重点实验室开放基金课题(NCOCxxx)</w:t>
            </w:r>
          </w:p>
        </w:tc>
        <w:tc>
          <w:tcPr>
            <w:tcW w:w="7027" w:type="dxa"/>
            <w:tcBorders>
              <w:top w:val="nil"/>
              <w:left w:val="single" w:color="000000" w:sz="6" w:space="0"/>
            </w:tcBorders>
          </w:tcPr>
          <w:p>
            <w:pPr>
              <w:rPr>
                <w:rFonts w:ascii="Times New Roman" w:hAnsi="Times New Roman" w:cs="Times New Roman"/>
                <w:spacing w:val="-1"/>
                <w:sz w:val="24"/>
              </w:rPr>
            </w:pPr>
            <w:r>
              <w:rPr>
                <w:rFonts w:ascii="Times New Roman" w:hAnsi="Times New Roman" w:cs="Times New Roman"/>
                <w:spacing w:val="-1"/>
                <w:sz w:val="24"/>
              </w:rPr>
              <w:t>Supported by a grant (No. NCOCxxx) from Key Laboratory of  Nonlinear Circuit and Optical Communications  (Guangxi Normal University),Education Department of Guangxi Zhuang Autonomous Region</w:t>
            </w:r>
          </w:p>
        </w:tc>
      </w:tr>
    </w:tbl>
    <w:p>
      <w:pPr>
        <w:pStyle w:val="8"/>
        <w:numPr>
          <w:ilvl w:val="0"/>
          <w:numId w:val="4"/>
        </w:numPr>
        <w:tabs>
          <w:tab w:val="left" w:pos="989"/>
        </w:tabs>
        <w:spacing w:before="76" w:line="364" w:lineRule="auto"/>
        <w:ind w:left="227" w:right="226" w:firstLine="480"/>
        <w:rPr>
          <w:rFonts w:hint="eastAsia"/>
          <w:sz w:val="24"/>
        </w:rPr>
      </w:pPr>
      <w:r>
        <w:rPr>
          <w:sz w:val="24"/>
        </w:rPr>
        <w:t>课题负责人必须按要求填写年度进展报告，并按规定及时提交结题报告和相应的学术论</w:t>
      </w:r>
      <w:r>
        <w:rPr>
          <w:spacing w:val="-2"/>
          <w:sz w:val="24"/>
        </w:rPr>
        <w:t>文、专利、奖励、批文等成果复印件。</w:t>
      </w:r>
    </w:p>
    <w:p>
      <w:pPr>
        <w:pStyle w:val="3"/>
        <w:spacing w:before="160"/>
        <w:ind w:right="223"/>
        <w:jc w:val="right"/>
        <w:rPr>
          <w:spacing w:val="-1"/>
        </w:rPr>
      </w:pPr>
      <w:r>
        <w:rPr>
          <w:rFonts w:hint="eastAsia"/>
          <w:spacing w:val="-1"/>
        </w:rPr>
        <w:t>广西高校集成电路与微系统重点实验室/</w:t>
      </w:r>
    </w:p>
    <w:p>
      <w:pPr>
        <w:pStyle w:val="3"/>
        <w:spacing w:before="160"/>
        <w:ind w:right="223"/>
        <w:jc w:val="right"/>
        <w:rPr>
          <w:spacing w:val="-1"/>
        </w:rPr>
      </w:pPr>
      <w:r>
        <w:rPr>
          <w:spacing w:val="-1"/>
        </w:rPr>
        <w:t>广西高校非线性电路与光通信重点实验室</w:t>
      </w:r>
    </w:p>
    <w:p>
      <w:pPr>
        <w:pStyle w:val="3"/>
        <w:spacing w:before="160"/>
        <w:ind w:right="223"/>
        <w:jc w:val="right"/>
        <w:rPr>
          <w:spacing w:val="-1"/>
        </w:rPr>
      </w:pPr>
    </w:p>
    <w:p>
      <w:pPr>
        <w:pStyle w:val="3"/>
        <w:spacing w:before="160"/>
        <w:ind w:right="223"/>
        <w:jc w:val="right"/>
      </w:pPr>
      <w:r>
        <w:rPr>
          <w:rFonts w:ascii="Times New Roman" w:eastAsia="Times New Roman"/>
        </w:rPr>
        <w:t>2024</w:t>
      </w:r>
      <w:r>
        <w:t>年</w:t>
      </w:r>
      <w:r>
        <w:rPr>
          <w:rFonts w:ascii="Times New Roman" w:eastAsia="Times New Roman"/>
        </w:rPr>
        <w:t>6</w:t>
      </w:r>
      <w:r>
        <w:t>月</w:t>
      </w:r>
      <w:r>
        <w:rPr>
          <w:rFonts w:ascii="Times New Roman" w:eastAsia="Times New Roman"/>
        </w:rPr>
        <w:t>24</w:t>
      </w:r>
      <w:r>
        <w:rPr>
          <w:spacing w:val="-10"/>
        </w:rPr>
        <w:t>日</w:t>
      </w:r>
    </w:p>
    <w:sectPr>
      <w:pgSz w:w="11910" w:h="16850"/>
      <w:pgMar w:top="940" w:right="680" w:bottom="280" w:left="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794"/>
    <w:multiLevelType w:val="multilevel"/>
    <w:tmpl w:val="05C16794"/>
    <w:lvl w:ilvl="0" w:tentative="0">
      <w:start w:val="1"/>
      <w:numFmt w:val="japaneseCounting"/>
      <w:lvlText w:val="%1、"/>
      <w:lvlJc w:val="left"/>
      <w:pPr>
        <w:ind w:left="1547" w:hanging="720"/>
      </w:pPr>
      <w:rPr>
        <w:rFonts w:hint="default"/>
      </w:rPr>
    </w:lvl>
    <w:lvl w:ilvl="1" w:tentative="0">
      <w:start w:val="1"/>
      <w:numFmt w:val="lowerLetter"/>
      <w:lvlText w:val="%2)"/>
      <w:lvlJc w:val="left"/>
      <w:pPr>
        <w:ind w:left="1667" w:hanging="420"/>
      </w:pPr>
    </w:lvl>
    <w:lvl w:ilvl="2" w:tentative="0">
      <w:start w:val="1"/>
      <w:numFmt w:val="lowerRoman"/>
      <w:lvlText w:val="%3."/>
      <w:lvlJc w:val="right"/>
      <w:pPr>
        <w:ind w:left="2087" w:hanging="420"/>
      </w:pPr>
    </w:lvl>
    <w:lvl w:ilvl="3" w:tentative="0">
      <w:start w:val="1"/>
      <w:numFmt w:val="decimal"/>
      <w:lvlText w:val="%4."/>
      <w:lvlJc w:val="left"/>
      <w:pPr>
        <w:ind w:left="2507" w:hanging="420"/>
      </w:pPr>
    </w:lvl>
    <w:lvl w:ilvl="4" w:tentative="0">
      <w:start w:val="1"/>
      <w:numFmt w:val="lowerLetter"/>
      <w:lvlText w:val="%5)"/>
      <w:lvlJc w:val="left"/>
      <w:pPr>
        <w:ind w:left="2927" w:hanging="420"/>
      </w:pPr>
    </w:lvl>
    <w:lvl w:ilvl="5" w:tentative="0">
      <w:start w:val="1"/>
      <w:numFmt w:val="lowerRoman"/>
      <w:lvlText w:val="%6."/>
      <w:lvlJc w:val="right"/>
      <w:pPr>
        <w:ind w:left="3347" w:hanging="420"/>
      </w:pPr>
    </w:lvl>
    <w:lvl w:ilvl="6" w:tentative="0">
      <w:start w:val="1"/>
      <w:numFmt w:val="decimal"/>
      <w:lvlText w:val="%7."/>
      <w:lvlJc w:val="left"/>
      <w:pPr>
        <w:ind w:left="3767" w:hanging="420"/>
      </w:pPr>
    </w:lvl>
    <w:lvl w:ilvl="7" w:tentative="0">
      <w:start w:val="1"/>
      <w:numFmt w:val="lowerLetter"/>
      <w:lvlText w:val="%8)"/>
      <w:lvlJc w:val="left"/>
      <w:pPr>
        <w:ind w:left="4187" w:hanging="420"/>
      </w:pPr>
    </w:lvl>
    <w:lvl w:ilvl="8" w:tentative="0">
      <w:start w:val="1"/>
      <w:numFmt w:val="lowerRoman"/>
      <w:lvlText w:val="%9."/>
      <w:lvlJc w:val="right"/>
      <w:pPr>
        <w:ind w:left="4607" w:hanging="420"/>
      </w:pPr>
    </w:lvl>
  </w:abstractNum>
  <w:abstractNum w:abstractNumId="1">
    <w:nsid w:val="3B736063"/>
    <w:multiLevelType w:val="multilevel"/>
    <w:tmpl w:val="3B736063"/>
    <w:lvl w:ilvl="0" w:tentative="0">
      <w:start w:val="1"/>
      <w:numFmt w:val="decimal"/>
      <w:lvlText w:val="(%1)"/>
      <w:lvlJc w:val="left"/>
      <w:pPr>
        <w:ind w:left="1067" w:hanging="36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2">
    <w:nsid w:val="5DE445DB"/>
    <w:multiLevelType w:val="multilevel"/>
    <w:tmpl w:val="5DE445DB"/>
    <w:lvl w:ilvl="0" w:tentative="0">
      <w:start w:val="1"/>
      <w:numFmt w:val="decimal"/>
      <w:lvlText w:val="%1."/>
      <w:lvlJc w:val="left"/>
      <w:pPr>
        <w:ind w:left="988" w:hanging="281"/>
        <w:jc w:val="left"/>
      </w:pPr>
      <w:rPr>
        <w:rFonts w:hint="default" w:ascii="Times New Roman" w:hAnsi="Times New Roman" w:eastAsia="Times New Roman" w:cs="Times New Roman"/>
        <w:b w:val="0"/>
        <w:bCs w:val="0"/>
        <w:i w:val="0"/>
        <w:iCs w:val="0"/>
        <w:w w:val="100"/>
        <w:sz w:val="24"/>
        <w:szCs w:val="24"/>
        <w:lang w:val="en-US" w:eastAsia="zh-CN" w:bidi="ar-SA"/>
      </w:rPr>
    </w:lvl>
    <w:lvl w:ilvl="1" w:tentative="0">
      <w:start w:val="0"/>
      <w:numFmt w:val="bullet"/>
      <w:lvlText w:val="•"/>
      <w:lvlJc w:val="left"/>
      <w:pPr>
        <w:ind w:left="1936" w:hanging="281"/>
      </w:pPr>
      <w:rPr>
        <w:rFonts w:hint="default"/>
        <w:lang w:val="en-US" w:eastAsia="zh-CN" w:bidi="ar-SA"/>
      </w:rPr>
    </w:lvl>
    <w:lvl w:ilvl="2" w:tentative="0">
      <w:start w:val="0"/>
      <w:numFmt w:val="bullet"/>
      <w:lvlText w:val="•"/>
      <w:lvlJc w:val="left"/>
      <w:pPr>
        <w:ind w:left="2893" w:hanging="281"/>
      </w:pPr>
      <w:rPr>
        <w:rFonts w:hint="default"/>
        <w:lang w:val="en-US" w:eastAsia="zh-CN" w:bidi="ar-SA"/>
      </w:rPr>
    </w:lvl>
    <w:lvl w:ilvl="3" w:tentative="0">
      <w:start w:val="0"/>
      <w:numFmt w:val="bullet"/>
      <w:lvlText w:val="•"/>
      <w:lvlJc w:val="left"/>
      <w:pPr>
        <w:ind w:left="3849" w:hanging="281"/>
      </w:pPr>
      <w:rPr>
        <w:rFonts w:hint="default"/>
        <w:lang w:val="en-US" w:eastAsia="zh-CN" w:bidi="ar-SA"/>
      </w:rPr>
    </w:lvl>
    <w:lvl w:ilvl="4" w:tentative="0">
      <w:start w:val="0"/>
      <w:numFmt w:val="bullet"/>
      <w:lvlText w:val="•"/>
      <w:lvlJc w:val="left"/>
      <w:pPr>
        <w:ind w:left="4806" w:hanging="281"/>
      </w:pPr>
      <w:rPr>
        <w:rFonts w:hint="default"/>
        <w:lang w:val="en-US" w:eastAsia="zh-CN" w:bidi="ar-SA"/>
      </w:rPr>
    </w:lvl>
    <w:lvl w:ilvl="5" w:tentative="0">
      <w:start w:val="0"/>
      <w:numFmt w:val="bullet"/>
      <w:lvlText w:val="•"/>
      <w:lvlJc w:val="left"/>
      <w:pPr>
        <w:ind w:left="5763" w:hanging="281"/>
      </w:pPr>
      <w:rPr>
        <w:rFonts w:hint="default"/>
        <w:lang w:val="en-US" w:eastAsia="zh-CN" w:bidi="ar-SA"/>
      </w:rPr>
    </w:lvl>
    <w:lvl w:ilvl="6" w:tentative="0">
      <w:start w:val="0"/>
      <w:numFmt w:val="bullet"/>
      <w:lvlText w:val="•"/>
      <w:lvlJc w:val="left"/>
      <w:pPr>
        <w:ind w:left="6719" w:hanging="281"/>
      </w:pPr>
      <w:rPr>
        <w:rFonts w:hint="default"/>
        <w:lang w:val="en-US" w:eastAsia="zh-CN" w:bidi="ar-SA"/>
      </w:rPr>
    </w:lvl>
    <w:lvl w:ilvl="7" w:tentative="0">
      <w:start w:val="0"/>
      <w:numFmt w:val="bullet"/>
      <w:lvlText w:val="•"/>
      <w:lvlJc w:val="left"/>
      <w:pPr>
        <w:ind w:left="7676" w:hanging="281"/>
      </w:pPr>
      <w:rPr>
        <w:rFonts w:hint="default"/>
        <w:lang w:val="en-US" w:eastAsia="zh-CN" w:bidi="ar-SA"/>
      </w:rPr>
    </w:lvl>
    <w:lvl w:ilvl="8" w:tentative="0">
      <w:start w:val="0"/>
      <w:numFmt w:val="bullet"/>
      <w:lvlText w:val="•"/>
      <w:lvlJc w:val="left"/>
      <w:pPr>
        <w:ind w:left="8633" w:hanging="281"/>
      </w:pPr>
      <w:rPr>
        <w:rFonts w:hint="default"/>
        <w:lang w:val="en-US" w:eastAsia="zh-CN" w:bidi="ar-SA"/>
      </w:rPr>
    </w:lvl>
  </w:abstractNum>
  <w:abstractNum w:abstractNumId="3">
    <w:nsid w:val="62AC2C69"/>
    <w:multiLevelType w:val="multilevel"/>
    <w:tmpl w:val="62AC2C69"/>
    <w:lvl w:ilvl="0" w:tentative="0">
      <w:start w:val="1"/>
      <w:numFmt w:val="decimal"/>
      <w:lvlText w:val="%1."/>
      <w:lvlJc w:val="left"/>
      <w:pPr>
        <w:ind w:left="227" w:hanging="372"/>
        <w:jc w:val="left"/>
      </w:pPr>
      <w:rPr>
        <w:rFonts w:hint="default" w:ascii="Times New Roman" w:hAnsi="Times New Roman" w:eastAsia="Times New Roman" w:cs="Times New Roman"/>
        <w:b w:val="0"/>
        <w:bCs w:val="0"/>
        <w:i w:val="0"/>
        <w:iCs w:val="0"/>
        <w:w w:val="100"/>
        <w:sz w:val="24"/>
        <w:szCs w:val="24"/>
        <w:lang w:val="en-US" w:eastAsia="zh-CN" w:bidi="ar-SA"/>
      </w:rPr>
    </w:lvl>
    <w:lvl w:ilvl="1" w:tentative="0">
      <w:start w:val="1"/>
      <w:numFmt w:val="decimal"/>
      <w:lvlText w:val="%2."/>
      <w:lvlJc w:val="left"/>
      <w:pPr>
        <w:ind w:left="1278" w:hanging="286"/>
        <w:jc w:val="left"/>
      </w:pPr>
      <w:rPr>
        <w:rFonts w:hint="default" w:ascii="Times New Roman" w:hAnsi="Times New Roman" w:eastAsia="Times New Roman" w:cs="Times New Roman"/>
        <w:b w:val="0"/>
        <w:bCs w:val="0"/>
        <w:i w:val="0"/>
        <w:iCs w:val="0"/>
        <w:w w:val="100"/>
        <w:sz w:val="24"/>
        <w:szCs w:val="24"/>
        <w:lang w:val="en-US" w:eastAsia="zh-CN" w:bidi="ar-SA"/>
      </w:rPr>
    </w:lvl>
    <w:lvl w:ilvl="2" w:tentative="0">
      <w:start w:val="0"/>
      <w:numFmt w:val="bullet"/>
      <w:lvlText w:val="•"/>
      <w:lvlJc w:val="left"/>
      <w:pPr>
        <w:ind w:left="2131" w:hanging="286"/>
      </w:pPr>
      <w:rPr>
        <w:rFonts w:hint="default"/>
        <w:lang w:val="en-US" w:eastAsia="zh-CN" w:bidi="ar-SA"/>
      </w:rPr>
    </w:lvl>
    <w:lvl w:ilvl="3" w:tentative="0">
      <w:start w:val="0"/>
      <w:numFmt w:val="bullet"/>
      <w:lvlText w:val="•"/>
      <w:lvlJc w:val="left"/>
      <w:pPr>
        <w:ind w:left="3183" w:hanging="286"/>
      </w:pPr>
      <w:rPr>
        <w:rFonts w:hint="default"/>
        <w:lang w:val="en-US" w:eastAsia="zh-CN" w:bidi="ar-SA"/>
      </w:rPr>
    </w:lvl>
    <w:lvl w:ilvl="4" w:tentative="0">
      <w:start w:val="0"/>
      <w:numFmt w:val="bullet"/>
      <w:lvlText w:val="•"/>
      <w:lvlJc w:val="left"/>
      <w:pPr>
        <w:ind w:left="4235" w:hanging="286"/>
      </w:pPr>
      <w:rPr>
        <w:rFonts w:hint="default"/>
        <w:lang w:val="en-US" w:eastAsia="zh-CN" w:bidi="ar-SA"/>
      </w:rPr>
    </w:lvl>
    <w:lvl w:ilvl="5" w:tentative="0">
      <w:start w:val="0"/>
      <w:numFmt w:val="bullet"/>
      <w:lvlText w:val="•"/>
      <w:lvlJc w:val="left"/>
      <w:pPr>
        <w:ind w:left="5287" w:hanging="286"/>
      </w:pPr>
      <w:rPr>
        <w:rFonts w:hint="default"/>
        <w:lang w:val="en-US" w:eastAsia="zh-CN" w:bidi="ar-SA"/>
      </w:rPr>
    </w:lvl>
    <w:lvl w:ilvl="6" w:tentative="0">
      <w:start w:val="0"/>
      <w:numFmt w:val="bullet"/>
      <w:lvlText w:val="•"/>
      <w:lvlJc w:val="left"/>
      <w:pPr>
        <w:ind w:left="6339" w:hanging="286"/>
      </w:pPr>
      <w:rPr>
        <w:rFonts w:hint="default"/>
        <w:lang w:val="en-US" w:eastAsia="zh-CN" w:bidi="ar-SA"/>
      </w:rPr>
    </w:lvl>
    <w:lvl w:ilvl="7" w:tentative="0">
      <w:start w:val="0"/>
      <w:numFmt w:val="bullet"/>
      <w:lvlText w:val="•"/>
      <w:lvlJc w:val="left"/>
      <w:pPr>
        <w:ind w:left="7390" w:hanging="286"/>
      </w:pPr>
      <w:rPr>
        <w:rFonts w:hint="default"/>
        <w:lang w:val="en-US" w:eastAsia="zh-CN" w:bidi="ar-SA"/>
      </w:rPr>
    </w:lvl>
    <w:lvl w:ilvl="8" w:tentative="0">
      <w:start w:val="0"/>
      <w:numFmt w:val="bullet"/>
      <w:lvlText w:val="•"/>
      <w:lvlJc w:val="left"/>
      <w:pPr>
        <w:ind w:left="8442" w:hanging="286"/>
      </w:pPr>
      <w:rPr>
        <w:rFonts w:hint="default"/>
        <w:lang w:val="en-US" w:eastAsia="zh-CN"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86"/>
    <w:rsid w:val="000363E5"/>
    <w:rsid w:val="00092832"/>
    <w:rsid w:val="000E3D11"/>
    <w:rsid w:val="00155400"/>
    <w:rsid w:val="00177C7D"/>
    <w:rsid w:val="001C57A5"/>
    <w:rsid w:val="001D0E57"/>
    <w:rsid w:val="00345486"/>
    <w:rsid w:val="00491AAE"/>
    <w:rsid w:val="004B6851"/>
    <w:rsid w:val="004C456F"/>
    <w:rsid w:val="00523154"/>
    <w:rsid w:val="005F1BAD"/>
    <w:rsid w:val="00654BF0"/>
    <w:rsid w:val="006F331A"/>
    <w:rsid w:val="0071042E"/>
    <w:rsid w:val="00765293"/>
    <w:rsid w:val="007857EF"/>
    <w:rsid w:val="00862731"/>
    <w:rsid w:val="008E087B"/>
    <w:rsid w:val="009B6148"/>
    <w:rsid w:val="009C46BC"/>
    <w:rsid w:val="009D24BB"/>
    <w:rsid w:val="00A10E9A"/>
    <w:rsid w:val="00A34027"/>
    <w:rsid w:val="00A81C89"/>
    <w:rsid w:val="00AA7D64"/>
    <w:rsid w:val="00AD3295"/>
    <w:rsid w:val="00AE7B27"/>
    <w:rsid w:val="00B032D3"/>
    <w:rsid w:val="00B90B34"/>
    <w:rsid w:val="00D305D1"/>
    <w:rsid w:val="00D34E2A"/>
    <w:rsid w:val="00D910D4"/>
    <w:rsid w:val="00DB35E1"/>
    <w:rsid w:val="00E27C9C"/>
    <w:rsid w:val="00EF492C"/>
    <w:rsid w:val="00F428F7"/>
    <w:rsid w:val="00FA64BA"/>
    <w:rsid w:val="0CCB328F"/>
    <w:rsid w:val="0DCD2B82"/>
    <w:rsid w:val="1A2A72F4"/>
    <w:rsid w:val="3F10700D"/>
    <w:rsid w:val="40C318B3"/>
    <w:rsid w:val="5CCE6E59"/>
    <w:rsid w:val="60EB49EF"/>
    <w:rsid w:val="65A2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827"/>
      <w:outlineLvl w:val="0"/>
    </w:pPr>
    <w:rPr>
      <w:b/>
      <w:bCs/>
      <w:sz w:val="30"/>
      <w:szCs w:val="30"/>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Title"/>
    <w:basedOn w:val="1"/>
    <w:qFormat/>
    <w:uiPriority w:val="1"/>
    <w:pPr>
      <w:spacing w:before="54"/>
      <w:ind w:left="1902" w:right="1902"/>
      <w:jc w:val="center"/>
    </w:pPr>
    <w:rPr>
      <w:rFonts w:ascii="黑体" w:hAnsi="黑体" w:eastAsia="黑体" w:cs="黑体"/>
      <w:b/>
      <w:bCs/>
      <w:sz w:val="32"/>
      <w:szCs w:val="32"/>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160"/>
      <w:ind w:left="227" w:right="223" w:firstLine="480"/>
    </w:pPr>
  </w:style>
  <w:style w:type="paragraph" w:customStyle="1" w:styleId="9">
    <w:name w:val="Table Paragraph"/>
    <w:basedOn w:val="1"/>
    <w:qFormat/>
    <w:uiPriority w:val="1"/>
    <w:pPr>
      <w:ind w:left="162" w:right="159"/>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306</Words>
  <Characters>1746</Characters>
  <Lines>14</Lines>
  <Paragraphs>4</Paragraphs>
  <TotalTime>31</TotalTime>
  <ScaleCrop>false</ScaleCrop>
  <LinksUpToDate>false</LinksUpToDate>
  <CharactersWithSpaces>2048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2024-06-21T13:29:00Z</dcterms:created>
  <dc:creator>LAB</dc:creator>
  <cp:lastModifiedBy>huawei</cp:lastModifiedBy>
  <dcterms:modified xsi:type="dcterms:W3CDTF">2024-06-24T07:25:54Z</dcterms:modified>
  <dc:title>中国科学院软件研究所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2019</vt:lpwstr>
  </property>
  <property fmtid="{D5CDD505-2E9C-101B-9397-08002B2CF9AE}" pid="4" name="LastSaved">
    <vt:filetime>2024-06-21T00:00:00Z</vt:filetime>
  </property>
  <property fmtid="{D5CDD505-2E9C-101B-9397-08002B2CF9AE}" pid="5" name="KSOProductBuildVer">
    <vt:lpwstr>2052-11.1.0.9021</vt:lpwstr>
  </property>
</Properties>
</file>